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0520" w14:textId="77777777" w:rsidR="000B2044" w:rsidRDefault="000B2044" w:rsidP="000B204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188E648F" w14:textId="77777777" w:rsidR="000B2044" w:rsidRDefault="000B2044" w:rsidP="000B2044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29B483D0" w14:textId="77777777" w:rsidR="000B2044" w:rsidRDefault="000B2044" w:rsidP="000B2044">
      <w:pPr>
        <w:rPr>
          <w:b/>
          <w:bCs/>
        </w:rPr>
      </w:pPr>
      <w:r>
        <w:rPr>
          <w:b/>
          <w:bCs/>
        </w:rPr>
        <w:t xml:space="preserve">PAKIET nr 2 </w:t>
      </w:r>
    </w:p>
    <w:p w14:paraId="5D55A7FB" w14:textId="77777777" w:rsidR="000B2044" w:rsidRDefault="000B2044">
      <w:pPr>
        <w:rPr>
          <w:rFonts w:asciiTheme="minorHAnsi" w:hAnsiTheme="minorHAnsi" w:cstheme="minorHAnsi"/>
          <w:b/>
          <w:color w:val="000000" w:themeColor="text1"/>
        </w:rPr>
      </w:pPr>
    </w:p>
    <w:p w14:paraId="4B6B8397" w14:textId="2728A52E" w:rsidR="00AD74D4" w:rsidRDefault="00000000">
      <w:pPr>
        <w:rPr>
          <w:rFonts w:asciiTheme="minorHAnsi" w:hAnsiTheme="minorHAnsi" w:cstheme="minorHAnsi"/>
          <w:b/>
          <w:color w:val="000000" w:themeColor="text1"/>
        </w:rPr>
      </w:pPr>
      <w:proofErr w:type="spellStart"/>
      <w:r>
        <w:rPr>
          <w:rFonts w:asciiTheme="minorHAnsi" w:hAnsiTheme="minorHAnsi" w:cstheme="minorHAnsi"/>
          <w:b/>
          <w:color w:val="000000" w:themeColor="text1"/>
        </w:rPr>
        <w:t>Sandbox</w:t>
      </w:r>
      <w:proofErr w:type="spellEnd"/>
      <w:r>
        <w:rPr>
          <w:rFonts w:asciiTheme="minorHAnsi" w:hAnsiTheme="minorHAnsi" w:cstheme="minorHAnsi"/>
          <w:b/>
          <w:color w:val="000000" w:themeColor="text1"/>
        </w:rPr>
        <w:t xml:space="preserve"> w chmurze</w:t>
      </w:r>
    </w:p>
    <w:p w14:paraId="76A41776" w14:textId="77777777" w:rsidR="00AD74D4" w:rsidRDefault="00AD74D4">
      <w:pPr>
        <w:rPr>
          <w:rFonts w:asciiTheme="minorHAnsi" w:hAnsiTheme="minorHAnsi" w:cstheme="minorHAnsi"/>
          <w:b/>
          <w:color w:val="000000" w:themeColor="text1"/>
        </w:rPr>
      </w:pPr>
    </w:p>
    <w:p w14:paraId="10250CD8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zapewniać ochronę przed zagrożeniami 0-day.</w:t>
      </w:r>
    </w:p>
    <w:p w14:paraId="786A816C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wykorzystywać do działania chmurę producenta.</w:t>
      </w:r>
    </w:p>
    <w:p w14:paraId="28F40CF7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określenia jakie pliki mają zostać przesłane do chmury automatycznie, w tym archiwa, skrypty, pliki wykonywalne, możliwy spam, dokumenty oraz inne pliki typu .jar, .</w:t>
      </w:r>
      <w:proofErr w:type="spellStart"/>
      <w:r>
        <w:rPr>
          <w:rFonts w:asciiTheme="minorHAnsi" w:hAnsiTheme="minorHAnsi" w:cstheme="minorHAnsi"/>
          <w:color w:val="000000" w:themeColor="text1"/>
        </w:rPr>
        <w:t>reg</w:t>
      </w:r>
      <w:proofErr w:type="spellEnd"/>
      <w:r>
        <w:rPr>
          <w:rFonts w:asciiTheme="minorHAnsi" w:hAnsiTheme="minorHAnsi" w:cstheme="minorHAnsi"/>
          <w:color w:val="000000" w:themeColor="text1"/>
        </w:rPr>
        <w:t>, .</w:t>
      </w:r>
      <w:proofErr w:type="spellStart"/>
      <w:r>
        <w:rPr>
          <w:rFonts w:asciiTheme="minorHAnsi" w:hAnsiTheme="minorHAnsi" w:cstheme="minorHAnsi"/>
          <w:color w:val="000000" w:themeColor="text1"/>
        </w:rPr>
        <w:t>msi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. </w:t>
      </w:r>
    </w:p>
    <w:p w14:paraId="35A2159B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Administrator musi mieć możliwość zdefiniowania po jakim czasie przesłane pliki muszą zostać usunięte z serwerów producenta. </w:t>
      </w:r>
    </w:p>
    <w:p w14:paraId="2623A5CA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musi mieć możliwość zdefiniowania maksymalnego rozmiaru przesyłanych próbek.</w:t>
      </w:r>
    </w:p>
    <w:p w14:paraId="409BFEFD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pozwalać na utworzenie listy </w:t>
      </w:r>
      <w:proofErr w:type="spellStart"/>
      <w:r>
        <w:rPr>
          <w:rFonts w:asciiTheme="minorHAnsi" w:hAnsiTheme="minorHAnsi" w:cstheme="minorHAnsi"/>
          <w:color w:val="000000" w:themeColor="text1"/>
        </w:rPr>
        <w:t>wykluczeń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 określonych plików lub folderów z przesyłania. </w:t>
      </w:r>
    </w:p>
    <w:p w14:paraId="3B920A20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zakończonej analizie pliku, rozwiązanie musi przesyłać wynik analizy do wszystkich wspieranych produktów.</w:t>
      </w:r>
    </w:p>
    <w:p w14:paraId="6C9B3BC6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musi mieć możliwość podejrzenia listy plików, które zostały przesłane do analizy.</w:t>
      </w:r>
    </w:p>
    <w:p w14:paraId="1A510614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pozwalać na analizowanie plików, bez względu na lokalizacje stacji roboczej. W przypadku wykrycia zagrożenia, całe środowisko jest bezzwłocznie chronione.</w:t>
      </w:r>
    </w:p>
    <w:p w14:paraId="3162FD84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nie może wymagać instalacji dodatkowego agenta na stacjach roboczych.</w:t>
      </w:r>
    </w:p>
    <w:p w14:paraId="3DA47909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pozwala na wysłanie dowolnej próbki do analizy przez użytkownika lub administratora, za pomocą wspieranego produktu. Administrator musi móc podejrzeć jakie pliki zostały wysłane do analizy oraz przez kogo.</w:t>
      </w:r>
    </w:p>
    <w:p w14:paraId="69C41E11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Przeanalizowane pliki muszą zostać odpowiednio oznaczone. Analiza pliku może zakończyć się z wynikiem: </w:t>
      </w:r>
    </w:p>
    <w:p w14:paraId="23C25D2D" w14:textId="77777777" w:rsidR="00AD74D4" w:rsidRDefault="00000000">
      <w:pPr>
        <w:pStyle w:val="Akapitzlist"/>
        <w:numPr>
          <w:ilvl w:val="1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Czysty,</w:t>
      </w:r>
    </w:p>
    <w:p w14:paraId="727D4982" w14:textId="77777777" w:rsidR="00AD74D4" w:rsidRDefault="00000000">
      <w:pPr>
        <w:pStyle w:val="Akapitzlist"/>
        <w:numPr>
          <w:ilvl w:val="1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Podejrzany,</w:t>
      </w:r>
    </w:p>
    <w:p w14:paraId="4B79E8FA" w14:textId="77777777" w:rsidR="00AD74D4" w:rsidRDefault="00000000">
      <w:pPr>
        <w:pStyle w:val="Akapitzlist"/>
        <w:numPr>
          <w:ilvl w:val="1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Bardzo podejrzany,</w:t>
      </w:r>
    </w:p>
    <w:p w14:paraId="1EEB9644" w14:textId="77777777" w:rsidR="00AD74D4" w:rsidRDefault="00000000">
      <w:pPr>
        <w:pStyle w:val="Akapitzlist"/>
        <w:numPr>
          <w:ilvl w:val="1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Szkodliwy.</w:t>
      </w:r>
    </w:p>
    <w:p w14:paraId="4EF06134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przypadku stacji roboczych rozwiązanie musi posiadać możliwość wstrzymania uruchamiania pobieranych plików za pośrednictwem przeglądarek internetowych, klientów poczty e-mail, z nośników wymiennych oraz wyodrębnionych z archiwum.</w:t>
      </w:r>
    </w:p>
    <w:p w14:paraId="76CDF210" w14:textId="77777777" w:rsidR="00AD74D4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przypadku serwerów pocztowych rozwiązanie musi posiadać możliwość wstrzymania dostarczania wiadomości do momentu zakończenia analizy próbki.</w:t>
      </w:r>
    </w:p>
    <w:p w14:paraId="55CC3869" w14:textId="77777777" w:rsidR="00AD74D4" w:rsidRDefault="00000000">
      <w:pPr>
        <w:pStyle w:val="Akapitzlist"/>
        <w:numPr>
          <w:ilvl w:val="0"/>
          <w:numId w:val="1"/>
        </w:numPr>
      </w:pPr>
      <w:r>
        <w:rPr>
          <w:rFonts w:asciiTheme="minorHAnsi" w:hAnsiTheme="minorHAnsi" w:cstheme="minorHAnsi"/>
          <w:color w:val="000000" w:themeColor="text1"/>
        </w:rPr>
        <w:t xml:space="preserve">Wykryte zagrożenia muszą być przeniesione w bezpieczny obszar kwarantanny, z której administrator może przywrócić dowolne pliki oraz utworzyć dla niej wyłączenia. </w:t>
      </w:r>
    </w:p>
    <w:sectPr w:rsidR="00AD74D4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5AD7"/>
    <w:multiLevelType w:val="multilevel"/>
    <w:tmpl w:val="79A637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52B78"/>
    <w:multiLevelType w:val="multilevel"/>
    <w:tmpl w:val="C0C01B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56350429">
    <w:abstractNumId w:val="0"/>
  </w:num>
  <w:num w:numId="2" w16cid:durableId="759177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4D4"/>
    <w:rsid w:val="000B2044"/>
    <w:rsid w:val="00AD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0875"/>
  <w15:docId w15:val="{A1940D21-A69F-430E-93F2-F463862C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C88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0B2044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F22C8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qFormat/>
    <w:rsid w:val="000B20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2022-08-23T13:21:00Z</dcterms:created>
  <dcterms:modified xsi:type="dcterms:W3CDTF">2022-08-30T07:13:00Z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